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广东海洋大学学生工作发展中心建设方案</w:t>
      </w:r>
    </w:p>
    <w:p>
      <w:pPr>
        <w:pStyle w:val="7"/>
        <w:widowControl/>
        <w:spacing w:before="0" w:beforeAutospacing="0" w:after="0" w:afterAutospacing="0" w:line="560" w:lineRule="exact"/>
        <w:ind w:firstLine="600" w:firstLineChars="200"/>
        <w:jc w:val="center"/>
        <w:textAlignment w:val="baseline"/>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(征求意见稿)</w:t>
      </w:r>
    </w:p>
    <w:p>
      <w:pPr>
        <w:jc w:val="left"/>
        <w:rPr>
          <w:sz w:val="28"/>
          <w:szCs w:val="28"/>
        </w:rPr>
      </w:pPr>
    </w:p>
    <w:p>
      <w:pPr>
        <w:pStyle w:val="7"/>
        <w:widowControl/>
        <w:spacing w:before="0" w:beforeAutospacing="0" w:after="0" w:afterAutospacing="0" w:line="560" w:lineRule="exact"/>
        <w:ind w:firstLine="600" w:firstLineChars="200"/>
        <w:jc w:val="both"/>
        <w:textAlignment w:val="baseline"/>
        <w:rPr>
          <w:rFonts w:ascii="仿宋" w:hAnsi="仿宋" w:eastAsia="仿宋" w:cs="仿宋"/>
          <w:sz w:val="30"/>
          <w:szCs w:val="30"/>
        </w:rPr>
      </w:pPr>
      <w:r>
        <w:rPr>
          <w:rFonts w:hint="eastAsia" w:ascii="仿宋" w:hAnsi="仿宋" w:eastAsia="仿宋" w:cs="仿宋"/>
          <w:sz w:val="30"/>
          <w:szCs w:val="30"/>
        </w:rPr>
        <w:t>为进一步加强我校大学生思想政治教育工作，切实推动辅导员队伍专业化、职业化建设，根据我校学生工作实际，特制定广东海洋大学学生工作发展中心建设方案。</w:t>
      </w:r>
    </w:p>
    <w:p>
      <w:pPr>
        <w:pStyle w:val="7"/>
        <w:widowControl/>
        <w:spacing w:before="0" w:beforeAutospacing="0" w:after="0" w:afterAutospacing="0" w:line="560" w:lineRule="exact"/>
        <w:ind w:firstLine="602" w:firstLineChars="200"/>
        <w:jc w:val="both"/>
        <w:textAlignment w:val="baseline"/>
        <w:rPr>
          <w:rFonts w:ascii="黑体" w:hAnsi="黑体" w:eastAsia="黑体" w:cs="Arial"/>
        </w:rPr>
      </w:pPr>
      <w:r>
        <w:rPr>
          <w:rStyle w:val="10"/>
          <w:rFonts w:hint="eastAsia" w:ascii="黑体" w:hAnsi="黑体" w:eastAsia="黑体" w:cs="仿宋"/>
          <w:sz w:val="30"/>
          <w:szCs w:val="30"/>
        </w:rPr>
        <w:t>一、指导思想</w:t>
      </w:r>
    </w:p>
    <w:p>
      <w:pPr>
        <w:pStyle w:val="7"/>
        <w:widowControl/>
        <w:spacing w:before="0" w:beforeAutospacing="0" w:after="0" w:afterAutospacing="0" w:line="560" w:lineRule="exact"/>
        <w:ind w:firstLine="600" w:firstLineChars="200"/>
        <w:jc w:val="both"/>
        <w:textAlignment w:val="baseline"/>
        <w:rPr>
          <w:rFonts w:ascii="仿宋" w:hAnsi="仿宋" w:eastAsia="仿宋" w:cs="仿宋"/>
          <w:kern w:val="2"/>
          <w:sz w:val="30"/>
          <w:szCs w:val="30"/>
        </w:rPr>
      </w:pPr>
      <w:r>
        <w:rPr>
          <w:rFonts w:hint="eastAsia" w:ascii="仿宋" w:hAnsi="仿宋" w:eastAsia="仿宋" w:cs="仿宋"/>
          <w:kern w:val="2"/>
          <w:sz w:val="30"/>
          <w:szCs w:val="30"/>
        </w:rPr>
        <w:t>坚持以习近平新时代中国特色社会主义思想为指导，全面贯彻党的十九大精神、全国教育大会精神和全国高校思想政治工作会议精神，全面落实党的教育方针，围绕立德树人根本任务,健全辅导员队伍建设的体制机制，不断提升辅导员的职业能力，努力打造一支政治坚定、品德高尚、业务精湛、纪律严明、作风优良的辅导员队伍。</w:t>
      </w:r>
    </w:p>
    <w:p>
      <w:pPr>
        <w:pStyle w:val="7"/>
        <w:widowControl/>
        <w:spacing w:before="0" w:beforeAutospacing="0" w:after="0" w:afterAutospacing="0" w:line="560" w:lineRule="exact"/>
        <w:ind w:firstLine="602" w:firstLineChars="200"/>
        <w:jc w:val="both"/>
        <w:textAlignment w:val="baseline"/>
        <w:rPr>
          <w:rStyle w:val="10"/>
          <w:rFonts w:ascii="黑体" w:hAnsi="黑体" w:eastAsia="黑体" w:cs="仿宋"/>
          <w:sz w:val="30"/>
          <w:szCs w:val="30"/>
        </w:rPr>
      </w:pPr>
      <w:r>
        <w:rPr>
          <w:rStyle w:val="10"/>
          <w:rFonts w:hint="eastAsia" w:ascii="黑体" w:hAnsi="黑体" w:eastAsia="黑体" w:cs="仿宋"/>
          <w:sz w:val="30"/>
          <w:szCs w:val="30"/>
          <w:lang w:val="en-US" w:eastAsia="zh-CN"/>
        </w:rPr>
        <w:t>二</w:t>
      </w:r>
      <w:r>
        <w:rPr>
          <w:rStyle w:val="10"/>
          <w:rFonts w:hint="eastAsia" w:ascii="黑体" w:hAnsi="黑体" w:eastAsia="黑体" w:cs="仿宋"/>
          <w:sz w:val="30"/>
          <w:szCs w:val="30"/>
        </w:rPr>
        <w:t>、组织架构</w:t>
      </w:r>
    </w:p>
    <w:p>
      <w:pPr>
        <w:widowControl/>
        <w:spacing w:line="560" w:lineRule="exact"/>
        <w:ind w:firstLine="600" w:firstLineChars="200"/>
        <w:textAlignment w:val="baseline"/>
        <w:rPr>
          <w:rFonts w:hint="eastAsia" w:ascii="仿宋" w:hAnsi="仿宋" w:eastAsia="仿宋" w:cs="仿宋"/>
          <w:kern w:val="0"/>
          <w:sz w:val="30"/>
          <w:szCs w:val="30"/>
        </w:rPr>
      </w:pPr>
      <w:r>
        <w:rPr>
          <w:rFonts w:hint="eastAsia" w:ascii="仿宋" w:hAnsi="仿宋" w:eastAsia="仿宋" w:cs="仿宋"/>
          <w:kern w:val="0"/>
          <w:sz w:val="30"/>
          <w:szCs w:val="30"/>
        </w:rPr>
        <w:t>中心设主任1名，由分管学生工作校领导担任</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设副主任</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rPr>
        <w:t>名，由学生工作部主要负责人担任。</w:t>
      </w:r>
    </w:p>
    <w:p>
      <w:pPr>
        <w:widowControl/>
        <w:spacing w:line="560" w:lineRule="exact"/>
        <w:ind w:firstLine="600" w:firstLineChars="200"/>
        <w:textAlignment w:val="baseline"/>
        <w:rPr>
          <w:rFonts w:hint="eastAsia" w:ascii="仿宋" w:hAnsi="仿宋" w:eastAsia="仿宋" w:cs="仿宋"/>
          <w:kern w:val="0"/>
          <w:sz w:val="30"/>
          <w:szCs w:val="30"/>
        </w:rPr>
      </w:pPr>
      <w:r>
        <w:rPr>
          <w:rFonts w:hint="eastAsia" w:ascii="仿宋" w:hAnsi="仿宋" w:eastAsia="仿宋" w:cs="仿宋"/>
          <w:kern w:val="0"/>
          <w:sz w:val="30"/>
          <w:szCs w:val="30"/>
        </w:rPr>
        <w:t>成员由</w:t>
      </w:r>
      <w:r>
        <w:rPr>
          <w:rFonts w:hint="eastAsia" w:ascii="仿宋" w:hAnsi="仿宋" w:eastAsia="仿宋" w:cs="仿宋"/>
          <w:kern w:val="0"/>
          <w:sz w:val="30"/>
          <w:szCs w:val="30"/>
          <w:lang w:val="en-US" w:eastAsia="zh-CN"/>
        </w:rPr>
        <w:t>党委办、校长办</w:t>
      </w:r>
      <w:r>
        <w:rPr>
          <w:rFonts w:hint="eastAsia" w:ascii="仿宋" w:hAnsi="仿宋" w:eastAsia="仿宋" w:cs="仿宋"/>
          <w:kern w:val="0"/>
          <w:sz w:val="30"/>
          <w:szCs w:val="30"/>
        </w:rPr>
        <w:t>、组织部、宣传部、科技处、校团委</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马克思主义学院、保卫处、财务处、教务处、教育信息中心、各学院</w:t>
      </w:r>
      <w:r>
        <w:rPr>
          <w:rFonts w:hint="eastAsia" w:ascii="仿宋" w:hAnsi="仿宋" w:eastAsia="仿宋" w:cs="仿宋"/>
          <w:kern w:val="0"/>
          <w:sz w:val="30"/>
          <w:szCs w:val="30"/>
          <w:lang w:val="en-US" w:eastAsia="zh-CN"/>
        </w:rPr>
        <w:t>分管学生工作</w:t>
      </w:r>
      <w:r>
        <w:rPr>
          <w:rFonts w:hint="eastAsia" w:ascii="仿宋" w:hAnsi="仿宋" w:eastAsia="仿宋" w:cs="仿宋"/>
          <w:kern w:val="0"/>
          <w:sz w:val="30"/>
          <w:szCs w:val="30"/>
        </w:rPr>
        <w:t>负责人组成。</w:t>
      </w:r>
    </w:p>
    <w:p>
      <w:pPr>
        <w:widowControl/>
        <w:spacing w:line="560" w:lineRule="exact"/>
        <w:ind w:firstLine="600" w:firstLineChars="200"/>
        <w:textAlignment w:val="baseline"/>
        <w:rPr>
          <w:rFonts w:hint="eastAsia" w:ascii="仿宋" w:hAnsi="仿宋" w:eastAsia="仿宋" w:cs="仿宋"/>
          <w:kern w:val="0"/>
          <w:sz w:val="30"/>
          <w:szCs w:val="30"/>
        </w:rPr>
      </w:pPr>
      <w:r>
        <w:rPr>
          <w:rFonts w:hint="eastAsia" w:ascii="仿宋" w:hAnsi="仿宋" w:eastAsia="仿宋" w:cs="仿宋"/>
          <w:kern w:val="0"/>
          <w:sz w:val="30"/>
          <w:szCs w:val="30"/>
        </w:rPr>
        <w:t>主要职责：负责统筹学生工作发展中心有关事务，建立健全各项保障机制、运行机制、考核机制和激励机制。</w:t>
      </w:r>
    </w:p>
    <w:p>
      <w:pPr>
        <w:widowControl/>
        <w:spacing w:line="560" w:lineRule="exact"/>
        <w:ind w:firstLine="600" w:firstLineChars="200"/>
        <w:textAlignment w:val="baseline"/>
        <w:rPr>
          <w:rFonts w:ascii="仿宋" w:hAnsi="仿宋" w:eastAsia="仿宋" w:cs="仿宋"/>
          <w:kern w:val="0"/>
          <w:sz w:val="30"/>
          <w:szCs w:val="30"/>
        </w:rPr>
      </w:pPr>
      <w:r>
        <w:rPr>
          <w:rFonts w:hint="eastAsia" w:ascii="仿宋" w:hAnsi="仿宋" w:eastAsia="仿宋" w:cs="仿宋"/>
          <w:kern w:val="0"/>
          <w:sz w:val="30"/>
          <w:szCs w:val="30"/>
        </w:rPr>
        <w:t>中心办公室设在学生工作部，由学生工作部部长兼任办公室主任。</w:t>
      </w:r>
    </w:p>
    <w:p>
      <w:pPr>
        <w:pStyle w:val="7"/>
        <w:widowControl/>
        <w:spacing w:before="0" w:beforeAutospacing="0" w:after="0" w:afterAutospacing="0" w:line="560" w:lineRule="exact"/>
        <w:ind w:firstLine="602" w:firstLineChars="200"/>
        <w:jc w:val="both"/>
        <w:textAlignment w:val="baseline"/>
        <w:rPr>
          <w:rStyle w:val="10"/>
          <w:rFonts w:hint="eastAsia" w:ascii="黑体" w:hAnsi="黑体" w:eastAsia="黑体" w:cs="仿宋"/>
          <w:sz w:val="30"/>
          <w:szCs w:val="30"/>
          <w:lang w:eastAsia="zh-CN"/>
        </w:rPr>
      </w:pPr>
      <w:r>
        <w:rPr>
          <w:rStyle w:val="10"/>
          <w:rFonts w:hint="eastAsia" w:ascii="黑体" w:hAnsi="黑体" w:eastAsia="黑体" w:cs="仿宋"/>
          <w:sz w:val="30"/>
          <w:szCs w:val="30"/>
          <w:lang w:val="en-US" w:eastAsia="zh-CN"/>
        </w:rPr>
        <w:t>三</w:t>
      </w:r>
      <w:r>
        <w:rPr>
          <w:rStyle w:val="10"/>
          <w:rFonts w:hint="eastAsia" w:ascii="黑体" w:hAnsi="黑体" w:eastAsia="黑体" w:cs="仿宋"/>
          <w:sz w:val="30"/>
          <w:szCs w:val="30"/>
        </w:rPr>
        <w:t>、建设</w:t>
      </w:r>
      <w:r>
        <w:rPr>
          <w:rStyle w:val="10"/>
          <w:rFonts w:hint="eastAsia" w:ascii="黑体" w:hAnsi="黑体" w:eastAsia="黑体" w:cs="仿宋"/>
          <w:sz w:val="30"/>
          <w:szCs w:val="30"/>
          <w:lang w:val="en-US" w:eastAsia="zh-CN"/>
        </w:rPr>
        <w:t>内容</w:t>
      </w:r>
    </w:p>
    <w:p>
      <w:pPr>
        <w:widowControl/>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广东海洋大学学生工作发展中心立足我校改革发展的实际，研究和探讨高校学生思想政治教育工作的理论问题和实际问题，逐步形成</w:t>
      </w:r>
      <w:r>
        <w:rPr>
          <w:rFonts w:hint="eastAsia" w:ascii="仿宋" w:hAnsi="仿宋" w:eastAsia="仿宋" w:cs="仿宋"/>
          <w:sz w:val="30"/>
          <w:szCs w:val="30"/>
          <w:lang w:val="en-US" w:eastAsia="zh-CN"/>
        </w:rPr>
        <w:t>具有</w:t>
      </w:r>
      <w:r>
        <w:rPr>
          <w:rFonts w:hint="eastAsia" w:ascii="仿宋" w:hAnsi="仿宋" w:eastAsia="仿宋" w:cs="仿宋"/>
          <w:sz w:val="30"/>
          <w:szCs w:val="30"/>
        </w:rPr>
        <w:t>我校特色的</w:t>
      </w:r>
      <w:r>
        <w:rPr>
          <w:rFonts w:hint="eastAsia" w:ascii="仿宋" w:hAnsi="仿宋" w:eastAsia="仿宋" w:cs="仿宋"/>
          <w:sz w:val="30"/>
          <w:szCs w:val="30"/>
          <w:lang w:val="en-US" w:eastAsia="zh-CN"/>
        </w:rPr>
        <w:t>学生工作</w:t>
      </w:r>
      <w:r>
        <w:rPr>
          <w:rFonts w:hint="eastAsia" w:ascii="仿宋" w:hAnsi="仿宋" w:eastAsia="仿宋" w:cs="仿宋"/>
          <w:sz w:val="30"/>
          <w:szCs w:val="30"/>
        </w:rPr>
        <w:t>研究与实践体系，提高学校学生工作的管理和服务水平。</w:t>
      </w:r>
    </w:p>
    <w:p>
      <w:pPr>
        <w:pStyle w:val="14"/>
        <w:spacing w:line="560" w:lineRule="exact"/>
        <w:ind w:firstLine="602"/>
        <w:rPr>
          <w:rFonts w:ascii="仿宋" w:hAnsi="仿宋" w:eastAsia="仿宋" w:cs="仿宋"/>
          <w:sz w:val="30"/>
          <w:szCs w:val="30"/>
        </w:rPr>
      </w:pPr>
      <w:r>
        <w:rPr>
          <w:rFonts w:hint="eastAsia" w:ascii="仿宋" w:hAnsi="仿宋" w:eastAsia="仿宋" w:cs="仿宋"/>
          <w:b/>
          <w:sz w:val="30"/>
          <w:szCs w:val="30"/>
        </w:rPr>
        <w:t>（一）思想理论教育和价值引领：</w:t>
      </w:r>
      <w:r>
        <w:rPr>
          <w:rFonts w:hint="eastAsia" w:ascii="仿宋" w:hAnsi="仿宋" w:eastAsia="仿宋" w:cs="仿宋"/>
          <w:sz w:val="30"/>
          <w:szCs w:val="30"/>
        </w:rPr>
        <w:t>研究学生思想行为特点及思想政治状况，有针对性地帮助学生处理好思想认识、价值取向、学习生活、择业交友等方面的具体问题；组织开展各种专题教育，围绕理想信念教育、爱国主义教育、公民道德教育、素质教育等方面的任务要求，促进学生德智体美劳全面发展。</w:t>
      </w:r>
    </w:p>
    <w:p>
      <w:pPr>
        <w:pStyle w:val="14"/>
        <w:spacing w:line="560" w:lineRule="exact"/>
        <w:ind w:firstLine="602"/>
        <w:rPr>
          <w:rFonts w:ascii="仿宋" w:hAnsi="仿宋" w:eastAsia="仿宋" w:cs="仿宋"/>
          <w:sz w:val="30"/>
          <w:szCs w:val="30"/>
        </w:rPr>
      </w:pPr>
      <w:r>
        <w:rPr>
          <w:rFonts w:hint="eastAsia" w:ascii="仿宋" w:hAnsi="仿宋" w:eastAsia="仿宋" w:cs="仿宋"/>
          <w:b/>
          <w:sz w:val="30"/>
          <w:szCs w:val="30"/>
        </w:rPr>
        <w:t>（二）党团和班级建设：</w:t>
      </w:r>
      <w:r>
        <w:rPr>
          <w:rFonts w:hint="eastAsia" w:ascii="仿宋" w:hAnsi="仿宋" w:eastAsia="仿宋" w:cs="仿宋"/>
          <w:sz w:val="30"/>
          <w:szCs w:val="30"/>
        </w:rPr>
        <w:t>研究新时代学生党团和班级建设特点，指导学生党支部建设，做好学生党员的教育、培养、考察、发展和教育管理工作；指导基层团组织和学生会、学生社团开展活动，做好团员思想教育、评议和推优入党工作；指导开展学生骨干的遴选、培养、激励工作；指导班级开展工作。</w:t>
      </w:r>
    </w:p>
    <w:p>
      <w:pPr>
        <w:pStyle w:val="14"/>
        <w:spacing w:line="560" w:lineRule="exact"/>
        <w:ind w:firstLine="602"/>
        <w:rPr>
          <w:rFonts w:ascii="仿宋" w:hAnsi="仿宋" w:eastAsia="仿宋" w:cs="仿宋"/>
          <w:sz w:val="30"/>
          <w:szCs w:val="30"/>
        </w:rPr>
      </w:pPr>
      <w:r>
        <w:rPr>
          <w:rFonts w:hint="eastAsia" w:ascii="仿宋" w:hAnsi="仿宋" w:eastAsia="仿宋" w:cs="仿宋"/>
          <w:b/>
          <w:sz w:val="30"/>
          <w:szCs w:val="30"/>
        </w:rPr>
        <w:t>（三）学风建设：</w:t>
      </w:r>
      <w:r>
        <w:rPr>
          <w:rFonts w:hint="eastAsia" w:ascii="仿宋" w:hAnsi="仿宋" w:eastAsia="仿宋" w:cs="仿宋"/>
          <w:sz w:val="30"/>
          <w:szCs w:val="30"/>
        </w:rPr>
        <w:t>研究学风建设过程中存在的问题，分析原因，配合教师教育引导学生明确学习目的，激发学习兴趣，引导学生掌握正确的学习方法，养成良好的学习习惯；指导学生开展课外科技学术实践活动，营造浓厚学习氛围，促进良好班风、学风的形成。</w:t>
      </w:r>
    </w:p>
    <w:p>
      <w:pPr>
        <w:pStyle w:val="14"/>
        <w:spacing w:line="560" w:lineRule="exact"/>
        <w:ind w:firstLine="602"/>
        <w:rPr>
          <w:rFonts w:hint="eastAsia" w:ascii="仿宋" w:hAnsi="仿宋" w:eastAsia="仿宋" w:cs="仿宋"/>
          <w:sz w:val="30"/>
          <w:szCs w:val="30"/>
        </w:rPr>
      </w:pPr>
      <w:r>
        <w:rPr>
          <w:rFonts w:hint="eastAsia" w:ascii="仿宋" w:hAnsi="仿宋" w:eastAsia="仿宋" w:cs="仿宋"/>
          <w:b/>
          <w:sz w:val="30"/>
          <w:szCs w:val="30"/>
        </w:rPr>
        <w:t>（四）学生日常事务管理：</w:t>
      </w:r>
      <w:r>
        <w:rPr>
          <w:rFonts w:hint="eastAsia" w:ascii="仿宋" w:hAnsi="仿宋" w:eastAsia="仿宋" w:cs="仿宋"/>
          <w:sz w:val="30"/>
          <w:szCs w:val="30"/>
        </w:rPr>
        <w:t>研究学生日常事务管理存在的薄弱环节，分析影响和制约</w:t>
      </w:r>
      <w:bookmarkStart w:id="0" w:name="_GoBack"/>
      <w:r>
        <w:rPr>
          <w:rFonts w:hint="eastAsia" w:ascii="仿宋" w:hAnsi="仿宋" w:eastAsia="仿宋" w:cs="仿宋"/>
          <w:sz w:val="30"/>
          <w:szCs w:val="30"/>
        </w:rPr>
        <w:t>学生日常事务效率和准确性的原因，有效提升学生的学年鉴定、综合测评、评优评先、奖学金评定、学业帮扶、困难帮扶、勤工助学等日常事务</w:t>
      </w:r>
      <w:bookmarkEnd w:id="0"/>
      <w:r>
        <w:rPr>
          <w:rFonts w:hint="eastAsia" w:ascii="仿宋" w:hAnsi="仿宋" w:eastAsia="仿宋" w:cs="仿宋"/>
          <w:sz w:val="30"/>
          <w:szCs w:val="30"/>
        </w:rPr>
        <w:t>的管理质量与效率。</w:t>
      </w:r>
    </w:p>
    <w:p>
      <w:pPr>
        <w:pStyle w:val="14"/>
        <w:spacing w:line="560" w:lineRule="exact"/>
        <w:ind w:firstLine="602"/>
        <w:rPr>
          <w:rFonts w:ascii="仿宋" w:hAnsi="仿宋" w:eastAsia="仿宋" w:cs="仿宋"/>
          <w:sz w:val="30"/>
          <w:szCs w:val="30"/>
        </w:rPr>
      </w:pPr>
      <w:r>
        <w:rPr>
          <w:rFonts w:hint="eastAsia" w:ascii="仿宋" w:hAnsi="仿宋" w:eastAsia="仿宋" w:cs="仿宋"/>
          <w:b/>
          <w:sz w:val="30"/>
          <w:szCs w:val="30"/>
        </w:rPr>
        <w:t>（五）心理健康教育：</w:t>
      </w:r>
      <w:r>
        <w:rPr>
          <w:rFonts w:hint="eastAsia" w:ascii="仿宋" w:hAnsi="仿宋" w:eastAsia="仿宋" w:cs="仿宋"/>
          <w:sz w:val="30"/>
          <w:szCs w:val="30"/>
        </w:rPr>
        <w:t>研究分析学生</w:t>
      </w:r>
      <w:r>
        <w:rPr>
          <w:rFonts w:hint="eastAsia" w:ascii="仿宋" w:hAnsi="仿宋" w:eastAsia="仿宋" w:cs="仿宋"/>
          <w:sz w:val="30"/>
          <w:szCs w:val="30"/>
          <w:lang w:val="en-US" w:eastAsia="zh-CN"/>
        </w:rPr>
        <w:t>日常</w:t>
      </w:r>
      <w:r>
        <w:rPr>
          <w:rFonts w:hint="eastAsia" w:ascii="仿宋" w:hAnsi="仿宋" w:eastAsia="仿宋" w:cs="仿宋"/>
          <w:sz w:val="30"/>
          <w:szCs w:val="30"/>
        </w:rPr>
        <w:t>心理状况、成病原因、表现特点、干预措施等，科学开展心理健康教育，对学生心理问题进行初步排查和疏导，组织开展心理健康知识普及宣传活动，培育学生理性平和、乐观向上的健康心理，增强学生克服困难、经受考验、承受挫折的能力。</w:t>
      </w:r>
    </w:p>
    <w:p>
      <w:pPr>
        <w:pStyle w:val="14"/>
        <w:spacing w:line="560" w:lineRule="exact"/>
        <w:ind w:firstLine="602"/>
        <w:rPr>
          <w:rFonts w:ascii="仿宋" w:hAnsi="仿宋" w:eastAsia="仿宋" w:cs="仿宋"/>
          <w:b/>
          <w:sz w:val="30"/>
          <w:szCs w:val="30"/>
        </w:rPr>
      </w:pPr>
      <w:r>
        <w:rPr>
          <w:rFonts w:hint="eastAsia" w:ascii="仿宋" w:hAnsi="仿宋" w:eastAsia="仿宋" w:cs="仿宋"/>
          <w:b/>
          <w:sz w:val="30"/>
          <w:szCs w:val="30"/>
        </w:rPr>
        <w:t>（六）网络思想政治教育：</w:t>
      </w:r>
      <w:r>
        <w:rPr>
          <w:rFonts w:hint="eastAsia" w:ascii="仿宋" w:hAnsi="仿宋" w:eastAsia="仿宋" w:cs="仿宋"/>
          <w:sz w:val="30"/>
          <w:szCs w:val="30"/>
        </w:rPr>
        <w:t>研究新媒体新技术在思政教育中的应用，推动思想政治工作传统优势与信息技术高度融合，构建网络思想政治教育重要阵地，积极传播先进文化；加强学生网络素养教育，积极培养校园好网民；引导学生创作网络文化作品，弘扬主旋律，传播正能量。</w:t>
      </w:r>
    </w:p>
    <w:p>
      <w:pPr>
        <w:pStyle w:val="14"/>
        <w:spacing w:line="560" w:lineRule="exact"/>
        <w:ind w:firstLine="602"/>
        <w:rPr>
          <w:rFonts w:hint="eastAsia" w:ascii="仿宋" w:hAnsi="仿宋" w:eastAsia="仿宋" w:cs="仿宋"/>
          <w:sz w:val="30"/>
          <w:szCs w:val="30"/>
        </w:rPr>
      </w:pPr>
      <w:r>
        <w:rPr>
          <w:rFonts w:hint="eastAsia" w:ascii="仿宋" w:hAnsi="仿宋" w:eastAsia="仿宋" w:cs="仿宋"/>
          <w:b/>
          <w:sz w:val="30"/>
          <w:szCs w:val="30"/>
        </w:rPr>
        <w:t>（七）校园危机事件应对：</w:t>
      </w:r>
      <w:r>
        <w:rPr>
          <w:rFonts w:hint="eastAsia" w:ascii="仿宋" w:hAnsi="仿宋" w:eastAsia="仿宋" w:cs="仿宋"/>
          <w:sz w:val="30"/>
          <w:szCs w:val="30"/>
        </w:rPr>
        <w:t>研究校园危机事件应对策略，建立畅通的学生信息渠道，针对学生关心的热点、焦点问题，及时进行教育和引导；对校园不稳定因素进行预判、分析，提出处理建议；对校园危机事件全程介入，及时掌握危机事件信息，迅速稳妥地处理事件。</w:t>
      </w:r>
    </w:p>
    <w:p>
      <w:pPr>
        <w:pStyle w:val="14"/>
        <w:spacing w:line="560" w:lineRule="exact"/>
        <w:ind w:firstLine="602"/>
        <w:rPr>
          <w:rFonts w:hint="eastAsia" w:ascii="仿宋" w:hAnsi="仿宋" w:eastAsia="仿宋" w:cs="仿宋"/>
          <w:sz w:val="30"/>
          <w:szCs w:val="30"/>
        </w:rPr>
      </w:pPr>
      <w:r>
        <w:rPr>
          <w:rFonts w:hint="eastAsia" w:ascii="仿宋" w:hAnsi="仿宋" w:eastAsia="仿宋" w:cs="仿宋"/>
          <w:b/>
          <w:sz w:val="30"/>
          <w:szCs w:val="30"/>
        </w:rPr>
        <w:t>（八）职业规划与就业创业指导：</w:t>
      </w:r>
      <w:r>
        <w:rPr>
          <w:rFonts w:hint="eastAsia" w:ascii="仿宋" w:hAnsi="仿宋" w:eastAsia="仿宋" w:cs="仿宋"/>
          <w:sz w:val="30"/>
          <w:szCs w:val="30"/>
        </w:rPr>
        <w:t>研究职场特点，引导学生掌握大学生职业规划的基本方法，促进学生理性规划自身发展，在学习过程中自觉提高就业能力和生涯管理能力，有效促进学生求职就业或自主创业</w:t>
      </w:r>
      <w:r>
        <w:rPr>
          <w:rFonts w:hint="eastAsia" w:ascii="仿宋" w:hAnsi="仿宋" w:eastAsia="仿宋" w:cs="仿宋"/>
          <w:sz w:val="30"/>
          <w:szCs w:val="30"/>
          <w:lang w:eastAsia="zh-CN"/>
        </w:rPr>
        <w:t>，</w:t>
      </w:r>
      <w:r>
        <w:rPr>
          <w:rFonts w:hint="eastAsia" w:ascii="仿宋" w:hAnsi="仿宋" w:eastAsia="仿宋" w:cs="仿宋"/>
          <w:sz w:val="30"/>
          <w:szCs w:val="30"/>
        </w:rPr>
        <w:t>促进毕业生充分就业、高质量就业。</w:t>
      </w:r>
    </w:p>
    <w:p>
      <w:pPr>
        <w:pStyle w:val="14"/>
        <w:spacing w:line="560" w:lineRule="exact"/>
        <w:ind w:firstLine="602"/>
        <w:rPr>
          <w:rFonts w:hint="eastAsia" w:ascii="仿宋" w:hAnsi="仿宋" w:eastAsia="仿宋" w:cs="仿宋"/>
          <w:sz w:val="30"/>
          <w:szCs w:val="30"/>
        </w:rPr>
      </w:pPr>
      <w:r>
        <w:rPr>
          <w:rFonts w:hint="eastAsia" w:ascii="仿宋" w:hAnsi="仿宋" w:eastAsia="仿宋" w:cs="仿宋"/>
          <w:b/>
          <w:sz w:val="30"/>
          <w:szCs w:val="30"/>
          <w:lang w:eastAsia="zh-CN"/>
        </w:rPr>
        <w:t>（</w:t>
      </w:r>
      <w:r>
        <w:rPr>
          <w:rFonts w:hint="eastAsia" w:ascii="仿宋" w:hAnsi="仿宋" w:eastAsia="仿宋" w:cs="仿宋"/>
          <w:b/>
          <w:sz w:val="30"/>
          <w:szCs w:val="30"/>
          <w:lang w:val="en-US" w:eastAsia="zh-CN"/>
        </w:rPr>
        <w:t>九</w:t>
      </w:r>
      <w:r>
        <w:rPr>
          <w:rFonts w:hint="eastAsia" w:ascii="仿宋" w:hAnsi="仿宋" w:eastAsia="仿宋" w:cs="仿宋"/>
          <w:b/>
          <w:sz w:val="30"/>
          <w:szCs w:val="30"/>
          <w:lang w:eastAsia="zh-CN"/>
        </w:rPr>
        <w:t>）资助育人：</w:t>
      </w:r>
      <w:r>
        <w:rPr>
          <w:rFonts w:hint="eastAsia" w:ascii="仿宋" w:hAnsi="仿宋" w:eastAsia="仿宋" w:cs="仿宋"/>
          <w:sz w:val="30"/>
          <w:szCs w:val="30"/>
          <w:lang w:eastAsia="zh-CN"/>
        </w:rPr>
        <w:t>探索发展型资助新路径，进一步拓展资助的内涵，强化资助育人理念，构建资助育人质量体系，在做好经济保障的基础上，进一步加强对家庭经济困难学生的身心发展、道德品质培养、学业、就业等方面的关怀和帮助，促进他们全面成长。</w:t>
      </w:r>
    </w:p>
    <w:p>
      <w:pPr>
        <w:pStyle w:val="14"/>
        <w:spacing w:line="560" w:lineRule="exact"/>
        <w:ind w:firstLine="602"/>
        <w:rPr>
          <w:rFonts w:hint="eastAsia" w:ascii="仿宋" w:hAnsi="仿宋" w:eastAsia="仿宋" w:cs="仿宋"/>
          <w:sz w:val="30"/>
          <w:szCs w:val="30"/>
        </w:rPr>
      </w:pPr>
      <w:r>
        <w:rPr>
          <w:rFonts w:hint="eastAsia" w:ascii="仿宋" w:hAnsi="仿宋" w:eastAsia="仿宋" w:cs="仿宋"/>
          <w:b/>
          <w:sz w:val="30"/>
          <w:szCs w:val="30"/>
          <w:lang w:eastAsia="zh-CN"/>
        </w:rPr>
        <w:t>（</w:t>
      </w:r>
      <w:r>
        <w:rPr>
          <w:rFonts w:hint="eastAsia" w:ascii="仿宋" w:hAnsi="仿宋" w:eastAsia="仿宋" w:cs="仿宋"/>
          <w:b/>
          <w:sz w:val="30"/>
          <w:szCs w:val="30"/>
          <w:lang w:val="en-US" w:eastAsia="zh-CN"/>
        </w:rPr>
        <w:t>十</w:t>
      </w:r>
      <w:r>
        <w:rPr>
          <w:rFonts w:hint="eastAsia" w:ascii="仿宋" w:hAnsi="仿宋" w:eastAsia="仿宋" w:cs="仿宋"/>
          <w:b/>
          <w:sz w:val="30"/>
          <w:szCs w:val="30"/>
          <w:lang w:eastAsia="zh-CN"/>
        </w:rPr>
        <w:t>）理论和实践研究：</w:t>
      </w:r>
      <w:r>
        <w:rPr>
          <w:rFonts w:hint="eastAsia" w:ascii="仿宋" w:hAnsi="仿宋" w:eastAsia="仿宋" w:cs="仿宋"/>
          <w:sz w:val="30"/>
          <w:szCs w:val="30"/>
        </w:rPr>
        <w:t>深入学习贯彻习近平新时代中国特色社会主义思想，积极践行社会主义核心价值观，围绕立德树人根本任务，组织参加相关学科领域学术交流活动，组织校内外思想政治教育课题或项目申报，研究和探讨高校学生思想政治教育工作的理论问题和实际问题。</w:t>
      </w:r>
    </w:p>
    <w:p>
      <w:pPr>
        <w:pStyle w:val="7"/>
        <w:widowControl/>
        <w:spacing w:before="0" w:beforeAutospacing="0" w:after="0" w:afterAutospacing="0" w:line="560" w:lineRule="exact"/>
        <w:ind w:firstLine="602" w:firstLineChars="200"/>
        <w:jc w:val="both"/>
        <w:textAlignment w:val="baseline"/>
        <w:rPr>
          <w:rStyle w:val="10"/>
          <w:rFonts w:ascii="黑体" w:hAnsi="黑体" w:eastAsia="黑体" w:cs="仿宋"/>
          <w:sz w:val="30"/>
          <w:szCs w:val="30"/>
        </w:rPr>
      </w:pPr>
      <w:r>
        <w:rPr>
          <w:rStyle w:val="10"/>
          <w:rFonts w:hint="eastAsia" w:ascii="黑体" w:hAnsi="黑体" w:eastAsia="黑体" w:cs="仿宋"/>
          <w:sz w:val="30"/>
          <w:szCs w:val="30"/>
          <w:lang w:val="en-US" w:eastAsia="zh-CN"/>
        </w:rPr>
        <w:t>四</w:t>
      </w:r>
      <w:r>
        <w:rPr>
          <w:rStyle w:val="10"/>
          <w:rFonts w:hint="eastAsia" w:ascii="黑体" w:hAnsi="黑体" w:eastAsia="黑体" w:cs="仿宋"/>
          <w:sz w:val="30"/>
          <w:szCs w:val="30"/>
        </w:rPr>
        <w:t>、主要任务</w:t>
      </w:r>
    </w:p>
    <w:p>
      <w:pPr>
        <w:pStyle w:val="14"/>
        <w:spacing w:line="560" w:lineRule="exact"/>
        <w:ind w:firstLine="600"/>
        <w:rPr>
          <w:rFonts w:ascii="仿宋" w:hAnsi="仿宋" w:eastAsia="仿宋" w:cs="仿宋"/>
          <w:sz w:val="30"/>
          <w:szCs w:val="30"/>
        </w:rPr>
      </w:pPr>
      <w:r>
        <w:rPr>
          <w:rFonts w:hint="eastAsia" w:ascii="仿宋" w:hAnsi="仿宋" w:eastAsia="仿宋" w:cs="仿宋"/>
          <w:sz w:val="30"/>
          <w:szCs w:val="30"/>
        </w:rPr>
        <w:t>（一）切实推进我校学生工作队伍建设，提升学生工作队伍的管理服务和科研能力，为学工人员的个体发展和学生工作的整体推进提供平台。</w:t>
      </w:r>
    </w:p>
    <w:p>
      <w:pPr>
        <w:pStyle w:val="7"/>
        <w:widowControl/>
        <w:spacing w:before="0" w:beforeAutospacing="0" w:after="0" w:afterAutospacing="0" w:line="560" w:lineRule="exact"/>
        <w:ind w:firstLine="600" w:firstLineChars="200"/>
        <w:jc w:val="both"/>
        <w:textAlignment w:val="baseline"/>
        <w:rPr>
          <w:rFonts w:ascii="仿宋" w:hAnsi="仿宋" w:eastAsia="仿宋" w:cs="仿宋"/>
          <w:sz w:val="30"/>
          <w:szCs w:val="30"/>
        </w:rPr>
      </w:pPr>
      <w:r>
        <w:rPr>
          <w:rFonts w:hint="eastAsia" w:ascii="仿宋" w:hAnsi="仿宋" w:eastAsia="仿宋" w:cs="仿宋"/>
          <w:sz w:val="30"/>
          <w:szCs w:val="30"/>
        </w:rPr>
        <w:t>（二）组织和推动学工人员进行研究性学习，促进交流，提供信息共享，整合优势，创造品牌。</w:t>
      </w:r>
    </w:p>
    <w:p>
      <w:pPr>
        <w:pStyle w:val="7"/>
        <w:widowControl/>
        <w:spacing w:before="0" w:beforeAutospacing="0" w:after="0" w:afterAutospacing="0" w:line="560" w:lineRule="exact"/>
        <w:ind w:firstLine="600" w:firstLineChars="200"/>
        <w:jc w:val="both"/>
        <w:textAlignment w:val="baseline"/>
        <w:rPr>
          <w:rFonts w:ascii="仿宋" w:hAnsi="仿宋" w:eastAsia="仿宋" w:cs="仿宋"/>
          <w:sz w:val="30"/>
          <w:szCs w:val="30"/>
        </w:rPr>
      </w:pPr>
      <w:r>
        <w:rPr>
          <w:rFonts w:hint="eastAsia" w:ascii="仿宋" w:hAnsi="仿宋" w:eastAsia="仿宋" w:cs="仿宋"/>
          <w:sz w:val="30"/>
          <w:szCs w:val="30"/>
        </w:rPr>
        <w:t>（三）邀请校内外专家、学者、先进人物举办讲座、报告会，定期组织开展业务培训、理论研究、工作研讨、技能比武、实践锻炼、主题沙龙、素质拓展等活动。</w:t>
      </w:r>
    </w:p>
    <w:p>
      <w:pPr>
        <w:pStyle w:val="7"/>
        <w:widowControl/>
        <w:spacing w:before="0" w:beforeAutospacing="0" w:after="0" w:afterAutospacing="0" w:line="560" w:lineRule="exact"/>
        <w:ind w:firstLine="600" w:firstLineChars="200"/>
        <w:jc w:val="both"/>
        <w:textAlignment w:val="baseline"/>
        <w:rPr>
          <w:rFonts w:ascii="仿宋" w:hAnsi="仿宋" w:eastAsia="仿宋" w:cs="仿宋"/>
          <w:sz w:val="30"/>
          <w:szCs w:val="30"/>
        </w:rPr>
      </w:pPr>
      <w:r>
        <w:rPr>
          <w:rFonts w:hint="eastAsia" w:ascii="仿宋" w:hAnsi="仿宋" w:eastAsia="仿宋" w:cs="仿宋"/>
          <w:sz w:val="30"/>
          <w:szCs w:val="30"/>
        </w:rPr>
        <w:t>（四）组织学生工作人员开展课题研究，编印、出版专著、教材、论文、资料，培养专家型学工人员。</w:t>
      </w:r>
    </w:p>
    <w:p>
      <w:pPr>
        <w:pStyle w:val="7"/>
        <w:widowControl/>
        <w:spacing w:before="0" w:beforeAutospacing="0" w:after="0" w:afterAutospacing="0" w:line="560" w:lineRule="exact"/>
        <w:ind w:firstLine="600" w:firstLineChars="200"/>
        <w:jc w:val="both"/>
        <w:textAlignment w:val="baseline"/>
        <w:rPr>
          <w:rFonts w:ascii="仿宋" w:hAnsi="仿宋" w:eastAsia="仿宋" w:cs="仿宋"/>
          <w:sz w:val="30"/>
          <w:szCs w:val="30"/>
        </w:rPr>
      </w:pPr>
      <w:r>
        <w:rPr>
          <w:rFonts w:hint="eastAsia" w:ascii="仿宋" w:hAnsi="仿宋" w:eastAsia="仿宋" w:cs="仿宋"/>
          <w:sz w:val="30"/>
          <w:szCs w:val="30"/>
        </w:rPr>
        <w:t>（五）了解学生工作人员的工作、学习、生活情况，关心学工人员的困难和需要，为学生工作人员排忧解难、提供服务。</w:t>
      </w:r>
    </w:p>
    <w:p>
      <w:pPr>
        <w:pStyle w:val="7"/>
        <w:widowControl/>
        <w:spacing w:before="0" w:beforeAutospacing="0" w:after="0" w:afterAutospacing="0" w:line="560" w:lineRule="exact"/>
        <w:ind w:firstLine="600" w:firstLineChars="200"/>
        <w:jc w:val="both"/>
        <w:textAlignment w:val="baseline"/>
        <w:rPr>
          <w:rFonts w:ascii="仿宋" w:hAnsi="仿宋" w:eastAsia="仿宋" w:cs="仿宋"/>
          <w:sz w:val="30"/>
          <w:szCs w:val="30"/>
        </w:rPr>
      </w:pPr>
      <w:r>
        <w:rPr>
          <w:rFonts w:hint="eastAsia" w:ascii="仿宋" w:hAnsi="仿宋" w:eastAsia="仿宋" w:cs="仿宋"/>
          <w:sz w:val="30"/>
          <w:szCs w:val="30"/>
        </w:rPr>
        <w:t>（六）做好我校学生工作队伍建设的宣传工作，使中心成为我校学生工作队伍建设工作的主要阵地和对外宣传的重要窗口。</w:t>
      </w:r>
    </w:p>
    <w:p>
      <w:pPr>
        <w:pStyle w:val="7"/>
        <w:widowControl/>
        <w:spacing w:before="0" w:beforeAutospacing="0" w:after="0" w:afterAutospacing="0" w:line="560" w:lineRule="exact"/>
        <w:ind w:firstLine="600" w:firstLineChars="200"/>
        <w:jc w:val="both"/>
        <w:textAlignment w:val="baseline"/>
        <w:rPr>
          <w:rFonts w:ascii="仿宋" w:hAnsi="仿宋" w:eastAsia="仿宋" w:cs="仿宋"/>
          <w:sz w:val="30"/>
          <w:szCs w:val="30"/>
        </w:rPr>
      </w:pPr>
      <w:r>
        <w:rPr>
          <w:rFonts w:hint="eastAsia" w:ascii="仿宋" w:hAnsi="仿宋" w:eastAsia="仿宋" w:cs="仿宋"/>
          <w:sz w:val="30"/>
          <w:szCs w:val="30"/>
        </w:rPr>
        <w:t>（七）配合学校组织、人事、科研和学生工作职能部门，开展全校学生工作队伍建设存在的问题及对策研究。</w:t>
      </w:r>
    </w:p>
    <w:p>
      <w:pPr>
        <w:pStyle w:val="7"/>
        <w:widowControl/>
        <w:spacing w:before="0" w:beforeAutospacing="0" w:after="0" w:afterAutospacing="0" w:line="560" w:lineRule="exact"/>
        <w:ind w:firstLine="602" w:firstLineChars="200"/>
        <w:jc w:val="both"/>
        <w:textAlignment w:val="baseline"/>
        <w:rPr>
          <w:rStyle w:val="10"/>
          <w:rFonts w:ascii="黑体" w:hAnsi="黑体" w:eastAsia="黑体" w:cs="仿宋"/>
          <w:sz w:val="30"/>
          <w:szCs w:val="30"/>
        </w:rPr>
      </w:pPr>
      <w:r>
        <w:rPr>
          <w:rStyle w:val="10"/>
          <w:rFonts w:hint="eastAsia" w:ascii="黑体" w:hAnsi="黑体" w:eastAsia="黑体" w:cs="仿宋"/>
          <w:sz w:val="30"/>
          <w:szCs w:val="30"/>
          <w:lang w:val="en-US" w:eastAsia="zh-CN"/>
        </w:rPr>
        <w:t>五</w:t>
      </w:r>
      <w:r>
        <w:rPr>
          <w:rStyle w:val="10"/>
          <w:rFonts w:hint="eastAsia" w:ascii="黑体" w:hAnsi="黑体" w:eastAsia="黑体" w:cs="仿宋"/>
          <w:sz w:val="30"/>
          <w:szCs w:val="30"/>
        </w:rPr>
        <w:t>、工作要求</w:t>
      </w:r>
    </w:p>
    <w:p>
      <w:pPr>
        <w:pStyle w:val="7"/>
        <w:widowControl/>
        <w:spacing w:before="0" w:beforeAutospacing="0" w:after="0" w:afterAutospacing="0" w:line="560" w:lineRule="exact"/>
        <w:ind w:firstLine="600" w:firstLineChars="200"/>
        <w:jc w:val="both"/>
        <w:textAlignment w:val="baseline"/>
        <w:rPr>
          <w:rFonts w:ascii="仿宋" w:hAnsi="仿宋" w:eastAsia="仿宋" w:cs="仿宋"/>
          <w:sz w:val="30"/>
          <w:szCs w:val="30"/>
        </w:rPr>
      </w:pPr>
      <w:r>
        <w:rPr>
          <w:rFonts w:hint="eastAsia" w:ascii="Times New Roman" w:hAnsi="Times New Roman" w:eastAsia="宋体"/>
          <w:color w:val="333333"/>
          <w:sz w:val="30"/>
          <w:szCs w:val="30"/>
        </w:rPr>
        <w:t>（一）</w:t>
      </w:r>
      <w:r>
        <w:rPr>
          <w:rFonts w:hint="eastAsia" w:ascii="仿宋" w:hAnsi="仿宋" w:eastAsia="仿宋" w:cs="仿宋"/>
          <w:sz w:val="30"/>
          <w:szCs w:val="30"/>
        </w:rPr>
        <w:t>中心要统一领导、统筹规划和指导学生工作发展中心事务，不断探索新形势下学生工作的新形式、新方法。不定期召开专题会议，研究分析学生工作中存在的问题，切实增强思想政治教育工作的针对性和实效性。</w:t>
      </w:r>
    </w:p>
    <w:p>
      <w:pPr>
        <w:pStyle w:val="7"/>
        <w:widowControl/>
        <w:spacing w:before="0" w:beforeAutospacing="0" w:after="0" w:afterAutospacing="0" w:line="560" w:lineRule="exact"/>
        <w:ind w:firstLine="600" w:firstLineChars="200"/>
        <w:jc w:val="both"/>
        <w:textAlignment w:val="baseline"/>
        <w:rPr>
          <w:rFonts w:ascii="仿宋" w:hAnsi="仿宋" w:eastAsia="仿宋" w:cs="仿宋"/>
          <w:sz w:val="30"/>
          <w:szCs w:val="30"/>
        </w:rPr>
      </w:pPr>
      <w:r>
        <w:rPr>
          <w:rFonts w:hint="eastAsia" w:ascii="仿宋" w:hAnsi="仿宋" w:eastAsia="仿宋" w:cs="仿宋"/>
          <w:sz w:val="30"/>
          <w:szCs w:val="30"/>
        </w:rPr>
        <w:t>（二）各单位（部门）要强化政治意识，落实领导责任，明确分工职责，确保学生工作发展中心建设工作开花结果。要将</w:t>
      </w:r>
      <w:r>
        <w:rPr>
          <w:rFonts w:hint="eastAsia" w:ascii="仿宋" w:hAnsi="仿宋" w:eastAsia="仿宋" w:cs="仿宋"/>
          <w:sz w:val="30"/>
          <w:szCs w:val="30"/>
          <w:lang w:eastAsia="zh-TW"/>
        </w:rPr>
        <w:t>学生</w:t>
      </w:r>
      <w:r>
        <w:rPr>
          <w:rFonts w:hint="eastAsia" w:ascii="仿宋" w:hAnsi="仿宋" w:eastAsia="仿宋" w:cs="仿宋"/>
          <w:sz w:val="30"/>
          <w:szCs w:val="30"/>
        </w:rPr>
        <w:t>工作发展建设方案纳入整体发展规划、年度工作计划和年度考核中，明确路线图、时间表，厘清工作任务清单和人员责任。</w:t>
      </w:r>
    </w:p>
    <w:p>
      <w:pPr>
        <w:pStyle w:val="7"/>
        <w:widowControl/>
        <w:spacing w:before="0" w:beforeAutospacing="0" w:after="0" w:afterAutospacing="0" w:line="560" w:lineRule="exact"/>
        <w:ind w:firstLine="600" w:firstLineChars="200"/>
        <w:jc w:val="both"/>
        <w:textAlignment w:val="baseline"/>
        <w:rPr>
          <w:rFonts w:ascii="仿宋" w:hAnsi="仿宋" w:eastAsia="仿宋" w:cs="仿宋"/>
          <w:sz w:val="30"/>
          <w:szCs w:val="30"/>
        </w:rPr>
      </w:pPr>
      <w:r>
        <w:rPr>
          <w:rFonts w:hint="eastAsia" w:ascii="仿宋" w:hAnsi="仿宋" w:eastAsia="仿宋" w:cs="仿宋"/>
          <w:sz w:val="30"/>
          <w:szCs w:val="30"/>
        </w:rPr>
        <w:t>（三）要坚持以人为本，多途径、多渠道为学工人员个人发展和整体队伍建设服务。坚持实事求是，本着继承、借鉴、创新相结合的原则，着力研究新情况、解决新问题、总结新经验。加大学工队伍培养培训力度，支持参加各级各类培训、比赛及展示活动，遴选思想政治工作骨干参加访学研修活动，鼓励在职攻读博士学位，努力打造一支专业化职业化的思想政治工作队伍。</w:t>
      </w:r>
    </w:p>
    <w:sectPr>
      <w:footerReference r:id="rId3" w:type="default"/>
      <w:footerReference r:id="rId4" w:type="even"/>
      <w:pgSz w:w="11906" w:h="16838"/>
      <w:pgMar w:top="1644" w:right="1531" w:bottom="164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3590842"/>
      <w:docPartObj>
        <w:docPartGallery w:val="autotext"/>
      </w:docPartObj>
    </w:sdtPr>
    <w:sdtContent>
      <w:p>
        <w:pPr>
          <w:pStyle w:val="5"/>
          <w:ind w:left="420" w:right="42" w:rightChars="20" w:firstLine="7092" w:firstLineChars="3940"/>
        </w:pPr>
        <w:r>
          <w:rPr>
            <w:rStyle w:val="11"/>
            <w:rFonts w:hint="eastAsia" w:ascii="宋体" w:hAnsi="宋体"/>
            <w:sz w:val="28"/>
          </w:rPr>
          <w:t>—</w:t>
        </w:r>
        <w:r>
          <w:rPr>
            <w:rStyle w:val="11"/>
            <w:rFonts w:ascii="宋体" w:hAnsi="宋体"/>
            <w:sz w:val="28"/>
          </w:rPr>
          <w:fldChar w:fldCharType="begin"/>
        </w:r>
        <w:r>
          <w:rPr>
            <w:rStyle w:val="11"/>
            <w:rFonts w:ascii="宋体" w:hAnsi="宋体"/>
            <w:sz w:val="28"/>
          </w:rPr>
          <w:instrText xml:space="preserve">PAGE  </w:instrText>
        </w:r>
        <w:r>
          <w:rPr>
            <w:rStyle w:val="11"/>
            <w:rFonts w:ascii="宋体" w:hAnsi="宋体"/>
            <w:sz w:val="28"/>
          </w:rPr>
          <w:fldChar w:fldCharType="separate"/>
        </w:r>
        <w:r>
          <w:rPr>
            <w:rStyle w:val="11"/>
            <w:rFonts w:ascii="宋体" w:hAnsi="宋体"/>
            <w:sz w:val="28"/>
          </w:rPr>
          <w:t>1</w:t>
        </w:r>
        <w:r>
          <w:rPr>
            <w:rStyle w:val="11"/>
            <w:rFonts w:ascii="宋体" w:hAnsi="宋体"/>
            <w:sz w:val="28"/>
          </w:rPr>
          <w:fldChar w:fldCharType="end"/>
        </w:r>
        <w:r>
          <w:rPr>
            <w:rStyle w:val="11"/>
            <w:rFonts w:hint="eastAsia" w:ascii="宋体" w:hAnsi="宋体"/>
            <w:sz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141" w:leftChars="67"/>
    </w:pPr>
    <w:r>
      <w:rPr>
        <w:rStyle w:val="11"/>
        <w:rFonts w:hint="eastAsia" w:ascii="宋体" w:hAnsi="宋体"/>
        <w:sz w:val="28"/>
      </w:rPr>
      <w:t>—</w:t>
    </w:r>
    <w:r>
      <w:rPr>
        <w:rStyle w:val="11"/>
        <w:rFonts w:ascii="宋体" w:hAnsi="宋体"/>
        <w:sz w:val="28"/>
      </w:rPr>
      <w:fldChar w:fldCharType="begin"/>
    </w:r>
    <w:r>
      <w:rPr>
        <w:rStyle w:val="11"/>
        <w:rFonts w:ascii="宋体" w:hAnsi="宋体"/>
        <w:sz w:val="28"/>
      </w:rPr>
      <w:instrText xml:space="preserve">PAGE  </w:instrText>
    </w:r>
    <w:r>
      <w:rPr>
        <w:rStyle w:val="11"/>
        <w:rFonts w:ascii="宋体" w:hAnsi="宋体"/>
        <w:sz w:val="28"/>
      </w:rPr>
      <w:fldChar w:fldCharType="separate"/>
    </w:r>
    <w:r>
      <w:rPr>
        <w:rStyle w:val="11"/>
        <w:rFonts w:ascii="宋体" w:hAnsi="宋体"/>
        <w:sz w:val="28"/>
      </w:rPr>
      <w:t>2</w:t>
    </w:r>
    <w:r>
      <w:rPr>
        <w:rStyle w:val="11"/>
        <w:rFonts w:ascii="宋体" w:hAnsi="宋体"/>
        <w:sz w:val="28"/>
      </w:rPr>
      <w:fldChar w:fldCharType="end"/>
    </w:r>
    <w:r>
      <w:rPr>
        <w:rStyle w:val="11"/>
        <w:rFonts w:hint="eastAsia" w:ascii="宋体" w:hAnsi="宋体"/>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91C"/>
    <w:rsid w:val="00001BEC"/>
    <w:rsid w:val="00093342"/>
    <w:rsid w:val="000E3BBE"/>
    <w:rsid w:val="00114FA0"/>
    <w:rsid w:val="001450E4"/>
    <w:rsid w:val="00150DDC"/>
    <w:rsid w:val="001D77E3"/>
    <w:rsid w:val="001E6172"/>
    <w:rsid w:val="0020214B"/>
    <w:rsid w:val="00210F5D"/>
    <w:rsid w:val="002309C5"/>
    <w:rsid w:val="00252E4A"/>
    <w:rsid w:val="002754A2"/>
    <w:rsid w:val="002D4EE6"/>
    <w:rsid w:val="0031241C"/>
    <w:rsid w:val="003165B0"/>
    <w:rsid w:val="00356C4E"/>
    <w:rsid w:val="003B12C2"/>
    <w:rsid w:val="00402407"/>
    <w:rsid w:val="00412206"/>
    <w:rsid w:val="00446B1A"/>
    <w:rsid w:val="004B5C0F"/>
    <w:rsid w:val="004B5FB1"/>
    <w:rsid w:val="004C35BD"/>
    <w:rsid w:val="0053629B"/>
    <w:rsid w:val="005736D7"/>
    <w:rsid w:val="005F2952"/>
    <w:rsid w:val="00644B1D"/>
    <w:rsid w:val="00660784"/>
    <w:rsid w:val="00683326"/>
    <w:rsid w:val="006E18C3"/>
    <w:rsid w:val="0079391C"/>
    <w:rsid w:val="007C5636"/>
    <w:rsid w:val="008546E5"/>
    <w:rsid w:val="00855BF3"/>
    <w:rsid w:val="0086123C"/>
    <w:rsid w:val="008B5C78"/>
    <w:rsid w:val="008C1D59"/>
    <w:rsid w:val="0091769A"/>
    <w:rsid w:val="00947767"/>
    <w:rsid w:val="00983B00"/>
    <w:rsid w:val="00A167E0"/>
    <w:rsid w:val="00A40ED6"/>
    <w:rsid w:val="00A45BBD"/>
    <w:rsid w:val="00C16853"/>
    <w:rsid w:val="00C31F4D"/>
    <w:rsid w:val="00C6266D"/>
    <w:rsid w:val="00C75C44"/>
    <w:rsid w:val="00C779FB"/>
    <w:rsid w:val="00CC2710"/>
    <w:rsid w:val="00CD6A65"/>
    <w:rsid w:val="00D3132D"/>
    <w:rsid w:val="00D76BCE"/>
    <w:rsid w:val="00D814F1"/>
    <w:rsid w:val="00DC6925"/>
    <w:rsid w:val="00E51F3F"/>
    <w:rsid w:val="00E8557B"/>
    <w:rsid w:val="00E873BF"/>
    <w:rsid w:val="00EE2AB5"/>
    <w:rsid w:val="00EF028A"/>
    <w:rsid w:val="00F04507"/>
    <w:rsid w:val="00F516AF"/>
    <w:rsid w:val="0588451F"/>
    <w:rsid w:val="06FF201E"/>
    <w:rsid w:val="08975C2E"/>
    <w:rsid w:val="08B4390E"/>
    <w:rsid w:val="0A36552F"/>
    <w:rsid w:val="0E6F7ABD"/>
    <w:rsid w:val="10A07474"/>
    <w:rsid w:val="11673E7D"/>
    <w:rsid w:val="14ED5990"/>
    <w:rsid w:val="16375465"/>
    <w:rsid w:val="1685150A"/>
    <w:rsid w:val="19FE22DF"/>
    <w:rsid w:val="1DC02851"/>
    <w:rsid w:val="22F25857"/>
    <w:rsid w:val="244E0DAE"/>
    <w:rsid w:val="251A3F93"/>
    <w:rsid w:val="25EC6D38"/>
    <w:rsid w:val="26B1332F"/>
    <w:rsid w:val="2A484FBA"/>
    <w:rsid w:val="33B65F61"/>
    <w:rsid w:val="346B41EF"/>
    <w:rsid w:val="384C4B3A"/>
    <w:rsid w:val="38FE21EB"/>
    <w:rsid w:val="402632BE"/>
    <w:rsid w:val="414F55BD"/>
    <w:rsid w:val="42431493"/>
    <w:rsid w:val="45483777"/>
    <w:rsid w:val="48786B5F"/>
    <w:rsid w:val="4D3461A9"/>
    <w:rsid w:val="4E4A43CA"/>
    <w:rsid w:val="50380DDE"/>
    <w:rsid w:val="534F477B"/>
    <w:rsid w:val="53C77981"/>
    <w:rsid w:val="56D20F95"/>
    <w:rsid w:val="56E005ED"/>
    <w:rsid w:val="56E314D7"/>
    <w:rsid w:val="595E4274"/>
    <w:rsid w:val="5B8C4517"/>
    <w:rsid w:val="67347BF7"/>
    <w:rsid w:val="6AFB30E2"/>
    <w:rsid w:val="6B336B6E"/>
    <w:rsid w:val="6DEA278D"/>
    <w:rsid w:val="6E9A7793"/>
    <w:rsid w:val="71476B5D"/>
    <w:rsid w:val="733323B5"/>
    <w:rsid w:val="7453035C"/>
    <w:rsid w:val="76157514"/>
    <w:rsid w:val="787D7B46"/>
    <w:rsid w:val="796A4712"/>
    <w:rsid w:val="7A57168E"/>
    <w:rsid w:val="7CBE141B"/>
    <w:rsid w:val="7D992C80"/>
    <w:rsid w:val="7DE948B7"/>
    <w:rsid w:val="7F163FCC"/>
    <w:rsid w:val="7FF85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List"/>
    <w:basedOn w:val="1"/>
    <w:qFormat/>
    <w:uiPriority w:val="0"/>
    <w:pPr>
      <w:ind w:left="200" w:hanging="200" w:hangingChars="200"/>
      <w:jc w:val="center"/>
    </w:pPr>
  </w:style>
  <w:style w:type="paragraph" w:styleId="3">
    <w:name w:val="annotation text"/>
    <w:basedOn w:val="1"/>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character" w:styleId="10">
    <w:name w:val="Strong"/>
    <w:basedOn w:val="9"/>
    <w:qFormat/>
    <w:uiPriority w:val="0"/>
    <w:rPr>
      <w:b/>
    </w:rPr>
  </w:style>
  <w:style w:type="character" w:styleId="11">
    <w:name w:val="page number"/>
    <w:qFormat/>
    <w:uiPriority w:val="0"/>
  </w:style>
  <w:style w:type="character" w:customStyle="1" w:styleId="12">
    <w:name w:val="页眉 字符"/>
    <w:basedOn w:val="9"/>
    <w:link w:val="6"/>
    <w:qFormat/>
    <w:uiPriority w:val="0"/>
    <w:rPr>
      <w:rFonts w:asciiTheme="minorHAnsi" w:hAnsiTheme="minorHAnsi" w:eastAsiaTheme="minorEastAsia" w:cstheme="minorBidi"/>
      <w:kern w:val="2"/>
      <w:sz w:val="18"/>
      <w:szCs w:val="18"/>
    </w:rPr>
  </w:style>
  <w:style w:type="character" w:customStyle="1" w:styleId="13">
    <w:name w:val="页脚 字符"/>
    <w:basedOn w:val="9"/>
    <w:link w:val="5"/>
    <w:qFormat/>
    <w:uiPriority w:val="0"/>
    <w:rPr>
      <w:rFonts w:asciiTheme="minorHAnsi" w:hAnsiTheme="minorHAnsi" w:eastAsiaTheme="minorEastAsia" w:cstheme="minorBidi"/>
      <w:kern w:val="2"/>
      <w:sz w:val="18"/>
      <w:szCs w:val="18"/>
    </w:rPr>
  </w:style>
  <w:style w:type="paragraph" w:customStyle="1" w:styleId="14">
    <w:name w:val="列出段落1"/>
    <w:basedOn w:val="1"/>
    <w:qFormat/>
    <w:uiPriority w:val="34"/>
    <w:pPr>
      <w:ind w:firstLine="420" w:firstLineChars="200"/>
    </w:pPr>
    <w:rPr>
      <w:szCs w:val="22"/>
    </w:rPr>
  </w:style>
  <w:style w:type="character" w:customStyle="1" w:styleId="15">
    <w:name w:val="批注框文本 字符"/>
    <w:basedOn w:val="9"/>
    <w:link w:val="4"/>
    <w:qFormat/>
    <w:uiPriority w:val="0"/>
    <w:rPr>
      <w:rFonts w:asciiTheme="minorHAnsi" w:hAnsiTheme="minorHAnsi" w:eastAsiaTheme="minorEastAsia" w:cstheme="minorBidi"/>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5480D4-79BB-4C66-9643-BF9312CBF4EB}">
  <ds:schemaRefs/>
</ds:datastoreItem>
</file>

<file path=docProps/app.xml><?xml version="1.0" encoding="utf-8"?>
<Properties xmlns="http://schemas.openxmlformats.org/officeDocument/2006/extended-properties" xmlns:vt="http://schemas.openxmlformats.org/officeDocument/2006/docPropsVTypes">
  <Template>Normal.dotm</Template>
  <Pages>5</Pages>
  <Words>390</Words>
  <Characters>2228</Characters>
  <Lines>18</Lines>
  <Paragraphs>5</Paragraphs>
  <TotalTime>5</TotalTime>
  <ScaleCrop>false</ScaleCrop>
  <LinksUpToDate>false</LinksUpToDate>
  <CharactersWithSpaces>2613</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2019-11-04T03:04:00Z</dcterms:created>
  <dc:creator>Administrator.USER-20190317AA</dc:creator>
  <cp:lastModifiedBy>weng</cp:lastModifiedBy>
  <dcterms:modified xsi:type="dcterms:W3CDTF">2019-12-10T08:03:47Z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